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C90234" w:rsidRPr="00C90234" w:rsidTr="00C90234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C90234" w:rsidRPr="00C9109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90234" w:rsidRPr="00C91097" w:rsidRDefault="00C90234" w:rsidP="00C90234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 w:rsidRPr="00C91097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31 Aralık </w:t>
                  </w:r>
                  <w:proofErr w:type="gramStart"/>
                  <w:r w:rsidRPr="00C91097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2014  ÇARŞAMBA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90234" w:rsidRPr="00C91097" w:rsidRDefault="00C90234" w:rsidP="00C90234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C91097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90234" w:rsidRPr="00C91097" w:rsidRDefault="00C90234" w:rsidP="00C9023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91097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Sayı : 29222</w:t>
                  </w:r>
                  <w:proofErr w:type="gramEnd"/>
                </w:p>
              </w:tc>
            </w:tr>
            <w:tr w:rsidR="00C90234" w:rsidRPr="00C9109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C90234" w:rsidRPr="00C91097" w:rsidRDefault="00C90234" w:rsidP="00C902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tr-TR"/>
                    </w:rPr>
                  </w:pPr>
                  <w:r w:rsidRPr="00C91097"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tr-TR"/>
                    </w:rPr>
                    <w:t>YÖNETMELİK</w:t>
                  </w:r>
                </w:p>
              </w:tc>
            </w:tr>
            <w:tr w:rsidR="00C90234" w:rsidRPr="00C9109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24"/>
                      <w:szCs w:val="24"/>
                      <w:u w:val="single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  <w:u w:val="single"/>
                    </w:rPr>
                    <w:t>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  <w:u w:val="single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  <w:u w:val="single"/>
                    </w:rPr>
                    <w:t>da,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  <w:u w:val="single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  <w:u w:val="single"/>
                    </w:rPr>
                    <w:t>m ve Hayvanc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  <w:u w:val="single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  <w:u w:val="single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  <w:u w:val="single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  <w:u w:val="single"/>
                    </w:rPr>
                    <w:t>k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  <w:u w:val="single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  <w:u w:val="single"/>
                    </w:rPr>
                    <w:t>ndan:</w:t>
                  </w:r>
                </w:p>
                <w:p w:rsidR="00C90234" w:rsidRPr="00C91097" w:rsidRDefault="00C90234" w:rsidP="00C90234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TARIMSAL ARAZ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LER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 M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LK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YET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 DEVR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NE</w:t>
                  </w:r>
                </w:p>
                <w:p w:rsidR="00C90234" w:rsidRPr="00C91097" w:rsidRDefault="00C90234" w:rsidP="00C90234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İŞ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 Y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NETMEL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</w:p>
                <w:p w:rsidR="00C90234" w:rsidRPr="00C91097" w:rsidRDefault="00C90234" w:rsidP="00C90234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B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NC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B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</w:t>
                  </w:r>
                </w:p>
                <w:p w:rsidR="00C90234" w:rsidRPr="00C91097" w:rsidRDefault="00C90234" w:rsidP="00C90234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Ama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, Kapsam, Dayanak ve Tan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mlar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Ama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ç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Bu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amac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;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arazilerin devri, miras yolu ile intikali,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erlemesi, yeter gelirli arazi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ekonomik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 ili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 ile ehil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 ait niteliklerin tespitine ili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 usul ve esaslar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belirlemektir.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Kapsam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2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Bu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netmelik;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arazilerin devri, miras yolu ile intikali,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erlemesi, yeter gelirli arazi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ekonomik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 ili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 ile ehil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 ait niteliklerin tespitine ili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 usul ve esaslar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kapsar.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Dayanak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3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3/7/2005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5403 say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Toprak Koruma ve Arazi Kullan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Kanununun 8 ila 8/K maddelerine dayan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larak haz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rlanm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Tan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mlar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4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Bu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netmelikte ge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en;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a) Asgari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: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faaliyet ve girdileri rasyonel ve ekonomik olarak kullan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takdirde, bir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arazide elde edilen verimlili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in,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 konusu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arazinin daha fazla 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üçü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lmesi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â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 elde edilemeyece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belirlenen en 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üçü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parsel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k: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da,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ve Hayvanc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Dikili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 arazisi: Mutlak ve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zel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arazileri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 kalan ve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zerinde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ekolojisine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uygun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ok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ve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formundaki bitkilerin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lan,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lkesel,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lgesel veya yerel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nemi bulunan arazileri,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Ehil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: Ki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isel yetenek ve durumlar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 tutulmak suretiyle bu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mlerince belirlenen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kriterlere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uygun sulh hukuk mahkemesi taraf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belirlenen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veya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d) Ekonomik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k: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lkiyeti ayn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iye ait birden fazla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arazinin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msal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faaliyetine ekonomik bir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er katacak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ekilde birbirine ba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olarak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letildi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tespit edilen arazileri,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e) Kanun: 5403 say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Toprak Koruma ve Arazi Kullan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Kanununu,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f)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 arazisi: Toprak, topografya ve iklimsel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zellikleri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msal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uygun olup,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â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lihaz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rda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msal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veya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lmaya uygun olan veya imar, ihya,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slah edilerek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msal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lmaya uygun hale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lebilen arazileri,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g)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gelir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eri: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arazilerinden elde edilecek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ortalama net gelirin yirmi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 ile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sonucu hesaplanan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eri,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)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alt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 arazileri: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klim ve di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etkilerin olumsuzluklar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kald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veya azalt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gerekli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zel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evre ko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ullar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yarat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cam, naylon veya benzeri malzeme kullan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larak al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ak ve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ksek sistemler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msal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arazileri,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h) Sulu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arazisi: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bitkilerin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me devresinde ihtiya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duydu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 suyun, su kayna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al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narak yeterli miktarda ve kontroll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bir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ekilde  kar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arazileri,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: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lge farkl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 bulundurularak il ve il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elerin Kanuna ekli (1) say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listede belirlenen 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klerini,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ifade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eder.</w:t>
                  </w:r>
                </w:p>
                <w:p w:rsidR="00C90234" w:rsidRPr="00C91097" w:rsidRDefault="00C90234" w:rsidP="00C90234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NC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B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</w:t>
                  </w:r>
                </w:p>
                <w:p w:rsidR="00C90234" w:rsidRPr="00C91097" w:rsidRDefault="00C90234" w:rsidP="00C90234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Tar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 Arazilerinin De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erlemesi, 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msal Arazi </w:t>
                  </w:r>
                </w:p>
                <w:p w:rsidR="00C90234" w:rsidRPr="00C91097" w:rsidRDefault="00C90234" w:rsidP="00C90234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B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ve Ekonomik B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lastRenderedPageBreak/>
                    <w:t>Tar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 arazilerinin de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erlemesi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5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arazilerin gelir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eri,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erleme tarihinde, arazilerin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optimum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ko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ullarda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letilmesi halinde elde edilecek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ortalama net gelirine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hesaplan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(2)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nemlerine ait gayrisafi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erlerinin hesaplanmas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nda,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ift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eline ge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fiyatlar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verimler dikkate al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r.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ift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eline ge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fiyatlar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rkiye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statistik Kurumu (T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Üİ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K) verileri esas al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r.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deseni ve verimlerin hesab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nda,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erlemesi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lacak arazinin veya bu arazilere benzer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zellik arz eden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redeki di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arazilerin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sistemlerindeki son be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kay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esas al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narak belirlenir.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(3)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erleme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inde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ift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eline ge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fiyatlar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yla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nlerin son be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verim ortalamalar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larak araziden elde edilen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ortalama gayrisafi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eri hesaplan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erleme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nemi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 ve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klerince belirlenecek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lgede yeti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tirilen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hakim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nler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ortalama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masraflar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ortalama gayrisafi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retim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erinden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kart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sonucu, arazinin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ortalama net geliri tespit edilir. Tespit edilen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ortalama net gelirin yirmi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 ile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sonucu olu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er,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arazilerin gelir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eridir.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(4)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gelir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erine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itirazlar; hesaplamada kullan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lan arazilerdeki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deseni ve verimleri,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maliyetleri ve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ift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eline ge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en fiyatlar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zerinden yeniden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erlendirilir. Arazilerin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desenine, maliyetlerine ve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ift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eline ge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en fiyatlara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itirazlarda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Üİ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sistemlerindeki kay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tlar esas al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msal arazi b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üğü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6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İ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ve il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elerin 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lge farkl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 bulundurularak Kanun ile belirlenmi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tir.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 Kanuna ekli (1) say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listede belirlenen 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klerinin alt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ifraz edilemez,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nemez.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arazilerin bu niteli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 tapunun beyanlar hanesine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erh konulmak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taraf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ilgili tapu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 bildirilir.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klerinin hesaplanmas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nda, ayn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iye ait ve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aralar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ekonomik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bulundu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 tespit edilen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 birlikte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erlendirilir.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(3) Yeter gelirli arazi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klerinin hesaplanmas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nda, ayn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iye ait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arazilerin farkl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flarda olmas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halinde, her il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Kanun ile farkl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ftaki araziler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belirlenmi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klerinin birbirlerine oranlamas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elde edilen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flar aras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rme katsay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dikkate al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Ekonomik b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7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Ayn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iye ait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 aras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ndaki ekonomik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olup olmad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tespiti 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daki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kriterlere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belirlenir: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a)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alt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arazilerinde bir dekar, dikili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arazilerinde be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dekar, sulu ve kuru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arazilerinde on dekar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alt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olan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 ekonomik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arz etmez.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Ayn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iye ait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rda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olmayan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arazilerinin aralar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ndaki mesafe on </w:t>
                  </w:r>
                  <w:proofErr w:type="spell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’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den</w:t>
                  </w:r>
                  <w:proofErr w:type="spell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az ve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alt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arazilerinde bir dekar, dikili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arazilerinde be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dekar, sulu ve kuru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arazilerinde on dekar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zerinde ise bu araziler aras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ekonomik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bulundu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 kabul edilir.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lkiyeti ayn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iye ait,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rda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olan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arazilerin ekonomik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te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kil etti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kabul edilir.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Ayn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iye ait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arazilerden birinin veya birka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payl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 ki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inin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arazisi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indeki pay miktar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dikkate al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narak ekonomik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erlendirmesi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19/10/2005 tarihli ve 5411 say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Bankac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Kanununa tabi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rkiye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’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 kurulu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mevduat bankalar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kat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bankalar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kalk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 ve yat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bankalar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yurtd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kurulu bu nitelikteki kurulu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rkiye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’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deki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ubeleri, finansal holding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irketleri, 21/11/2012 tarihli ve 6361 say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Finansal Kiralama, </w:t>
                  </w:r>
                  <w:proofErr w:type="spell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Faktoring</w:t>
                  </w:r>
                  <w:proofErr w:type="spell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Finansman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irketleri Kanununa tabi finansal kiralama, </w:t>
                  </w:r>
                  <w:proofErr w:type="spell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faktoring</w:t>
                  </w:r>
                  <w:proofErr w:type="spell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finansman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irketleri ile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kredi kooperatiflerinin farkl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ilerden alacaklar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mahsuben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lkiyetine ge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irdikleri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 aras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ekonomik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bulunmaz. Bu kurulu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n, ayn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ilerden elde ettikleri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arazilerde bu madde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ekonomik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erlendirmesi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(3) Ekonomik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erlendirmesi yukar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daki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kriterler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do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rultusunda il veya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lastRenderedPageBreak/>
                    <w:t>il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 taraf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r. </w:t>
                  </w:r>
                  <w:proofErr w:type="spell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Topo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rafik</w:t>
                  </w:r>
                  <w:proofErr w:type="spell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ko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ullar ve kullan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nden kaynaklanan di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cbir nedenlerden dolay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 kararlara kar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itirazlar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erlendirilerek karara ba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C90234" w:rsidRPr="00C91097" w:rsidRDefault="00C90234" w:rsidP="00C90234">
                  <w:pPr>
                    <w:spacing w:before="85" w:after="0" w:line="240" w:lineRule="exact"/>
                    <w:ind w:firstLine="566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ÜÇÜ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NC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B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</w:t>
                  </w:r>
                </w:p>
                <w:p w:rsidR="00C90234" w:rsidRPr="00C91097" w:rsidRDefault="00C90234" w:rsidP="00C90234">
                  <w:pPr>
                    <w:spacing w:after="85" w:line="240" w:lineRule="exact"/>
                    <w:ind w:firstLine="566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Tar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msal Arazilerin Devir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İş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lemleri ve Ehil Miras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ya Ait Kriterler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Tar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msal arazilerin devri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8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arazilerin her 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lkiyeti devir taleplerinde 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daki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lemler uygulan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a) Ta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nmaz malikinin ayn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nitelikli tek arazisi olmas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 bu ta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nmaz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devri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labilir.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Ta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nmaz malikinin ayn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birden fazla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arazisinin bulunmas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durumunda, bu arazilerin tamam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lkiyeti devir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lemine konu olmas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halinde, bu ta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nmazlar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devri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labilir.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Ayn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iye ait birden fazla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olmas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halinde, 7 </w:t>
                  </w:r>
                  <w:proofErr w:type="spell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nci</w:t>
                  </w:r>
                  <w:proofErr w:type="spell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madde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mlerine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ekonomik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erlendirmesi sonras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arazilerin ekonomik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haiz olmayan 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devrine izin verilebilir.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Ekonomik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arz eden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arazilerde, 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klerinin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zerinde olan ve yeter gelirli arazi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klerinin alt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ifraz gerektirmeyen arazilerin devrine izin verilir.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d) Payl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arazilerinde, pay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tamam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bir veya birden fazla payda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devri halinde bu arazilerin devrine izin verilir.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Mirasa konu tar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msal arazilerde devir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9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Mirasa konu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ve 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arazilerde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lkiyetin devri esast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 mirasa konu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arazilerinin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lkiyeti devir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lemlerini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itibaren bir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da belirtilen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ekillerde ger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ekle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tirebilir.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a) Asgari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yeter gelirli arazi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kriterleri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dikkate al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narak bir veya birden fazla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 devrini kararla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rabilir.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b)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22/11/2001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4721 say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Meden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î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Kanununun 373 ila 385 inci maddelerine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noter senedi ile aile mallar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ortakl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veya kazan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payl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aile mallar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ortakl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kurabilirler. Noter senedinin bir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rne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tapu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 ibraz edilerek,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 konusu ortakl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tapu 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beyanlar hanesine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lenir.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tamam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miras pay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oran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hissedar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olduklar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13/1/2011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tarihli ve 6102 say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rk Ticaret Kanunu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mlerine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re </w:t>
                  </w:r>
                  <w:proofErr w:type="spell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limited</w:t>
                  </w:r>
                  <w:proofErr w:type="spell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irketi kurabilirler.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lar, mirasa konu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 arazilerinin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üçü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ilere sat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ger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ekle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tirebilirler.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(3)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 taraf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arazilere ili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lkiyet devirlerinin bir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tamamlanmamas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yetkili sulh hukuk mahkemesi nezdinde dava 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durumunda,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taraf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lara Kanun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mlerinin uygulanmas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in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ayl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verilir.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(4) Bu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sonunda da devir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lemlerinin tamamlanmamas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durumunda,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resen veya bildirim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zerine bu yerlerin istemde bulunan ehil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ya, ehil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olmamas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 en fazla teklifi veren istekli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 devri, aksi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â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lde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üçü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ilere sat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ilgili sulh hukuk mahkemesi nezdinde dava 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abilir.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(5)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veya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taraf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dava 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 sulh hukuk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â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kimi;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a)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veya 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lkiyetinin; Ki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isel yetenek ve durumlar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nde tutulmak suretiyle 10 uncu madde ile tespit edilen ehil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gelir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eri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zerinden devrine, birden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ok ehil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bulunmas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â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linde,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ncelikle asgari ge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imini bu 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arazilerden sa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layan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ya, bunun bulunmamas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â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 bu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 aras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en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ksek bedeli teklif eden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 devrine, ehil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olmamas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â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linde,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 aras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en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ksek bedeli teklif eden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ya devrine karar verir. 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gelir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eri, davan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tarihi dikkate al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narak hesaplan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Birden fazla ehil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 bu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miras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arazilere sahip olmas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durumunda, bu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mevcut arazilerini yeter gelirli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ula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rmak veya bu arazilerin ekonomik olarak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letilmesine katk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lamak amac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â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kim,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arazilerinin yeter gelir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aramaks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bu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lara devrine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lastRenderedPageBreak/>
                    <w:t xml:space="preserve">karar verebilir.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Hakim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, 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mevcut arazileri ile devri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mirasa konu araziler aras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ekonomik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ve yeter gelir arazi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kriterlerini dikkate alarak karar verir.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Mirasa konu 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arazinin kendisine devrini talep eden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bulunmad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takdirde,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â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kim sat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karar verir. Bu suretle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sat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sonucu elde edilen gelir,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lara paylar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oran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payla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msal araziler birden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ok yeter geliri sa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layan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nebiliyorsa, sulh hukuk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â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kimi bunlardan her birinin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lkiyetinin, yukar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 belirtilen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mler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evesinde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lara ayr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ayr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proofErr w:type="spell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devrine karar verebilir.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(6) Mahkeme karar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kesinle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inceye kadar,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Kanunun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ekilde anla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maya vard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yaz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olarak Mahkemeye sunmalar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durumunda, dava anla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mlerine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sulh yolu ile sonland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Ehil miras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ya ait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kriterler</w:t>
                  </w:r>
                  <w:proofErr w:type="gramEnd"/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10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Ehil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belirlenmesinde 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daki 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staslar dikkate al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narak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 hesaplama sonucunda elli puan ve yukar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sahip olan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veya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 ehil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olarak kabul edilir.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lardan;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a) Ge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imini mirasa konu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arazilerinden sa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layanlara yirmi puan,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b)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geliri bulunmayanlara on puan,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c) 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fiilen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faaliyette bulunanlara on puan,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arazileri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leyebilecek mesleki bilgi ve beceriye sahip olanlara on puan,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d) Mirasa konu arazilerin bulundu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 il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alt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 kadar ikamet edenlere be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puan, alt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ve daha uzun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ikamet edenlere on puan,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e) Herhangi bir sosyal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vencesi olmayanlara on puan,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f) Sosyal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venlik Kurumu (SGK) kapsam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sigortas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olanlara be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puan,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g)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mevcut kay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 sistemlerine kay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releri alt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 kadar olanlara be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puan, alt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ve daha uzun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olanlara on puan,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msal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tlere kay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releri alt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 kadar olanlara iki puan, alt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ve daha uzun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olanlara be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puan,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h)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alet ve donan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sahip olanlara be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puan,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) Kad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olanlara be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puan verilir.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Mirasa konu tar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msal arazilerde de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er art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ışı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11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lkiyetinin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lardan birine devredilmesinden itibaren yirmi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bu arazilerden tamam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veya bir 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kullan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nedeniyle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erinde art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meydana gelmesi durumunda; devir tarihindeki arazinin parasal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kullan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izni verilen tarihe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yeniden hesaplan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 Bulunan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ile arazinin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kullan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nedeni ile olu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yeni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eri aras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ndaki fark, di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lara paylar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oran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arazinin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lkiyetini devralan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taraf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denir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arazilerinin Kanun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mlerine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mahkeme karar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lardan birine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gelir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eri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zerinden devri halinde, devir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leminden itibaren yirmi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ama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 kullan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izni sonucu olu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acak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art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di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hak sahibi olaca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konusunda tapu 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beyanlar hanesine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erh konulur.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(3)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erh konulan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arazilerinin yirmi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erh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resi dolmadan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ama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kullan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lmak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 sat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 konu edilmesi durumunda, di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muvafakati al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takdirde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erh kald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larak; muvafakati al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takdirde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erhli olarak sat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labilir. Ta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nmaz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erhli olarak sat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alan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üçü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iler, ayn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kullan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nedeniyle olu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acak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art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di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lara kar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sorumludur.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(4) Bu madde kapsam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ndaki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msal arazilere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erh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resi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kullan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izni verilmesi durumunda, verilen izin on be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taraf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di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lara bildirilir.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n, bildirimin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tarihten itibaren altm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art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istinaden talepte bulunmas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zorunludur. Birinci 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kraya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hesaplanan fark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lara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denmedik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msal arazi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zerindeki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erh kald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lmaz.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(5)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ama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 kullan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nedeniyle olu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an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art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sonras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 aras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anla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sa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halinde,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onay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tapunun beyanlar hanesindeki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erh kald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 aras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anla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sa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lanamamas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durumunda, di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lara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denecek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art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fark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Üİ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taraf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ndan belirlenen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retici Fiyatlar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lastRenderedPageBreak/>
                    <w:t>Endeksi kullan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larak Sulh Hukuk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Hakimi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taraf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belirlenir.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(6) Sulh Hukuk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Hakimi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taraf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mirasa konu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arazilerinin 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art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rma yolu ile sat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karar verilmesi veya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9 uncu maddenin ikinci 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uyar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nca anla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durumunda,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 konusu arazilerde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kullan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nedeniyle olu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abilecek de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art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konusunda yirmi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erh konulmaz.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(7) Yirmi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erh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resi tamamland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ktan sonra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erh kald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say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Di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er miras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 paylar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n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denmesi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12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Sulh hukuk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â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kimi,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lkiyetin devrini uygun buldu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ya, di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miras paylar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bedelini mahkeme veznesine depo etmek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 alt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aya kadar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verir.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taraf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talep edilmesi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â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linde alt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aya kadar ek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 verilebilir. Belirlenen 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reler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inde bedelin depo edilmemesi ve devir hususunda istekli ba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bulunmamas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 sulh hukuk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â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kimi,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arazinin veya 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arazinin 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art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rmayla sat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karar verir.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(2) Kendisine yeter gelirli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lkiyeti devredilen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lardan, di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paylar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kar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 kaynaklar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deyemeyecek durumda olanlar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n bu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demeleri ger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ekle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tirmek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bankalardan kullanacaklar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kredilere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ilgili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esine bu ama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 konulacak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denekten kar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lanmak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zere faiz deste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 verilebilir. Verilecek kredi miktar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paylar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kar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tutar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toplam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fazla olamaz. Bu 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 uyar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nca verilecek kredilere ve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lacak faiz deste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ine ili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kin usul ve esaslar Hazine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ste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ba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oldu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u Bakan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ve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terek teklifi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zerine Bakanlar Kurulu taraf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ndan belirlenir.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(3)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 aras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anla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ma sa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lanmas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durumunda, di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miras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paylar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kar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 kaynaklar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deyemeyecek durumda olanlar hakk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nda da ikinci f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kra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uygulan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Tar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msal faaliyetin sonland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lmas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ı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13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 malikleri sahibi olduklar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arazilerinin tamam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elden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karmak suretiyle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faaliyetine son verebilir. Arazi maliki, bu durumda arazilerinin tamam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ayn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anda olmak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yeter gelirli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ula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rmak amac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 talepte bulunan birden fazla arazi malikine satabilir. Arazilerin tamam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 al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istekli olmamas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durumunda, malik bu durumu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il veya il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 yaz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olarak bildirir.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k, bu malike ait arazilerin en az % 50 sinden az olmamak 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art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ile,</w:t>
                  </w:r>
                  <w:proofErr w:type="gramEnd"/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mevcut arazilerini yeter gelirli b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ula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rmak amac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yla talepte bulunan maliklere sat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na izin verebilir. Sat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ışı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yap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lmayan di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er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msal araziler ile ilgili olarak Kanunun 8/K maddesi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 uygulan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C90234" w:rsidRPr="00C91097" w:rsidRDefault="00C90234" w:rsidP="00C90234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D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RD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NC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 B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</w:t>
                  </w:r>
                </w:p>
                <w:p w:rsidR="00C90234" w:rsidRPr="00C91097" w:rsidRDefault="00C90234" w:rsidP="00C90234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Ç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e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ş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itli ve Son H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mler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D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zenleme yetkisi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14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Bakanl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k, bu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in uygulamas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ile ilgili olarak her 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alt d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zenlemeyi yapmaya yetkilidir.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rl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k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15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Bu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 yay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tarihinde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üğ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e girer.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Y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tme</w:t>
                  </w:r>
                </w:p>
                <w:p w:rsidR="00C90234" w:rsidRPr="00C91097" w:rsidRDefault="00C90234" w:rsidP="00C90234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</w:pP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 xml:space="preserve">MADDE 16 </w:t>
                  </w:r>
                  <w:r w:rsidRPr="00C91097">
                    <w:rPr>
                      <w:rFonts w:ascii="Times New Roman" w:eastAsia="ヒラギノ明朝 Pro W3" w:hAnsi="Times" w:cs="Times New Roman"/>
                      <w:b/>
                      <w:sz w:val="24"/>
                      <w:szCs w:val="24"/>
                    </w:rPr>
                    <w:t>–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(1) Bu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ö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netmelik h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mlerini G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da, Tar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m ve Hayvanc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l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k Bakan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ı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 xml:space="preserve"> y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t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ü</w:t>
                  </w:r>
                  <w:r w:rsidRPr="00C91097">
                    <w:rPr>
                      <w:rFonts w:ascii="Times New Roman" w:eastAsia="ヒラギノ明朝 Pro W3" w:hAnsi="Times" w:cs="Times New Roman"/>
                      <w:sz w:val="24"/>
                      <w:szCs w:val="24"/>
                    </w:rPr>
                    <w:t>r.</w:t>
                  </w:r>
                </w:p>
                <w:p w:rsidR="00C90234" w:rsidRPr="00C91097" w:rsidRDefault="00C90234" w:rsidP="00C902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C90234" w:rsidRPr="00C90234" w:rsidRDefault="00C90234" w:rsidP="00C9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90234" w:rsidRPr="00C90234" w:rsidRDefault="00C90234" w:rsidP="00C9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5BE1" w:rsidRDefault="00C91097"/>
    <w:sectPr w:rsidR="009B5BE1" w:rsidSect="007A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234"/>
    <w:rsid w:val="00020B74"/>
    <w:rsid w:val="00050A8F"/>
    <w:rsid w:val="00066FBF"/>
    <w:rsid w:val="0010439F"/>
    <w:rsid w:val="00180311"/>
    <w:rsid w:val="00296B69"/>
    <w:rsid w:val="003A7C81"/>
    <w:rsid w:val="0040112E"/>
    <w:rsid w:val="00436BDD"/>
    <w:rsid w:val="004D232D"/>
    <w:rsid w:val="00517E03"/>
    <w:rsid w:val="005255B8"/>
    <w:rsid w:val="007463ED"/>
    <w:rsid w:val="007A417C"/>
    <w:rsid w:val="007B751F"/>
    <w:rsid w:val="008C3A51"/>
    <w:rsid w:val="008E2337"/>
    <w:rsid w:val="009A37A5"/>
    <w:rsid w:val="00A0325D"/>
    <w:rsid w:val="00AF30CB"/>
    <w:rsid w:val="00BC0A6A"/>
    <w:rsid w:val="00C51BC9"/>
    <w:rsid w:val="00C90234"/>
    <w:rsid w:val="00C91097"/>
    <w:rsid w:val="00CC5328"/>
    <w:rsid w:val="00D515E0"/>
    <w:rsid w:val="00FA0F61"/>
    <w:rsid w:val="00FA2B2E"/>
    <w:rsid w:val="00FE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9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C90234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C9023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C9023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BEB383-E3E3-44F5-8492-2BA0D319A269}"/>
</file>

<file path=customXml/itemProps2.xml><?xml version="1.0" encoding="utf-8"?>
<ds:datastoreItem xmlns:ds="http://schemas.openxmlformats.org/officeDocument/2006/customXml" ds:itemID="{9006315D-97AC-45B3-ADF1-2BC674A50212}"/>
</file>

<file path=customXml/itemProps3.xml><?xml version="1.0" encoding="utf-8"?>
<ds:datastoreItem xmlns:ds="http://schemas.openxmlformats.org/officeDocument/2006/customXml" ds:itemID="{5D3E90AC-57E3-4494-BA53-1E2BE210C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2761</Words>
  <Characters>15740</Characters>
  <Application>Microsoft Office Word</Application>
  <DocSecurity>0</DocSecurity>
  <Lines>131</Lines>
  <Paragraphs>36</Paragraphs>
  <ScaleCrop>false</ScaleCrop>
  <Company/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erdem.can</dc:creator>
  <cp:lastModifiedBy>erdem.can</cp:lastModifiedBy>
  <cp:revision>3</cp:revision>
  <cp:lastPrinted>2014-12-31T07:07:00Z</cp:lastPrinted>
  <dcterms:created xsi:type="dcterms:W3CDTF">2014-12-31T07:08:00Z</dcterms:created>
  <dcterms:modified xsi:type="dcterms:W3CDTF">2015-04-28T08:51:00Z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